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586" w:rsidRDefault="00D86586" w:rsidP="00D86586">
      <w:pPr>
        <w:pStyle w:val="00003"/>
        <w:jc w:val="center"/>
        <w:rPr>
          <w:color w:val="000000"/>
        </w:rPr>
      </w:pPr>
      <w:r>
        <w:rPr>
          <w:color w:val="000000"/>
        </w:rPr>
        <w:t xml:space="preserve"> HIGH SCHOOL REDESIGN COMMISSION</w:t>
      </w:r>
    </w:p>
    <w:p w:rsidR="00D86586" w:rsidRDefault="00D86586" w:rsidP="00D86586">
      <w:pPr>
        <w:pStyle w:val="00003"/>
        <w:jc w:val="center"/>
        <w:rPr>
          <w:color w:val="000000"/>
        </w:rPr>
      </w:pPr>
      <w:r>
        <w:rPr>
          <w:color w:val="000000"/>
        </w:rPr>
        <w:t>RULES AND REGULATIONS</w:t>
      </w:r>
    </w:p>
    <w:p w:rsidR="00D86586" w:rsidRDefault="00D86586" w:rsidP="00D86586">
      <w:pPr>
        <w:pStyle w:val="00003"/>
        <w:rPr>
          <w:color w:val="000000"/>
        </w:rPr>
      </w:pPr>
    </w:p>
    <w:p w:rsidR="00D86586" w:rsidRDefault="00D86586" w:rsidP="00D86586">
      <w:pPr>
        <w:pStyle w:val="00003"/>
        <w:rPr>
          <w:color w:val="000000"/>
        </w:rPr>
      </w:pPr>
    </w:p>
    <w:p w:rsidR="00D86586" w:rsidRDefault="00D86586" w:rsidP="00D86586">
      <w:pPr>
        <w:pStyle w:val="00003"/>
        <w:rPr>
          <w:color w:val="000000"/>
        </w:rPr>
      </w:pPr>
      <w:r>
        <w:rPr>
          <w:color w:val="000000"/>
        </w:rPr>
        <w:t>G.  In making its recommendations pursuant to Subsection A of this Section, the commission shall consider the following:</w:t>
      </w:r>
    </w:p>
    <w:p w:rsidR="00D86586" w:rsidRDefault="00D86586" w:rsidP="00D86586">
      <w:pPr>
        <w:pStyle w:val="00003"/>
        <w:rPr>
          <w:color w:val="000000"/>
        </w:rPr>
      </w:pPr>
      <w:r>
        <w:rPr>
          <w:color w:val="000000"/>
        </w:rPr>
        <w:t>(1)  Strategies for increasing dual enrollment opportunities for high school students, including but not limited to an emphasis on the following:</w:t>
      </w:r>
    </w:p>
    <w:p w:rsidR="00D86586" w:rsidRDefault="00D86586" w:rsidP="00D86586">
      <w:pPr>
        <w:pStyle w:val="00003"/>
        <w:rPr>
          <w:color w:val="000000"/>
        </w:rPr>
      </w:pPr>
      <w:r>
        <w:rPr>
          <w:color w:val="000000"/>
        </w:rPr>
        <w:t>(a)  Early entry into postsecondary education institutions.</w:t>
      </w:r>
    </w:p>
    <w:p w:rsidR="00D86586" w:rsidRDefault="00D86586" w:rsidP="00D86586">
      <w:pPr>
        <w:pStyle w:val="00003"/>
        <w:rPr>
          <w:color w:val="000000"/>
        </w:rPr>
      </w:pPr>
      <w:r>
        <w:rPr>
          <w:color w:val="000000"/>
        </w:rPr>
        <w:t>(b)  The identification of funding sources for such dual enrollment opportunities.</w:t>
      </w:r>
    </w:p>
    <w:p w:rsidR="00D86586" w:rsidRDefault="00D86586" w:rsidP="00D86586">
      <w:pPr>
        <w:pStyle w:val="00003"/>
        <w:rPr>
          <w:color w:val="000000"/>
        </w:rPr>
      </w:pPr>
      <w:r>
        <w:rPr>
          <w:color w:val="000000"/>
        </w:rPr>
        <w:t>(c)  Improved articulation agreements between secondary schools and postsecondary education institutions.</w:t>
      </w:r>
    </w:p>
    <w:p w:rsidR="00D86586" w:rsidRDefault="00D86586" w:rsidP="00D86586">
      <w:pPr>
        <w:pStyle w:val="00003"/>
        <w:rPr>
          <w:color w:val="000000"/>
        </w:rPr>
      </w:pPr>
      <w:r>
        <w:rPr>
          <w:color w:val="000000"/>
        </w:rPr>
        <w:t>(2)  Strategies for increasing awareness among postsecondary education institutions of the reform efforts made at the high school level, including but not limited to an emphasis on the following:</w:t>
      </w:r>
    </w:p>
    <w:p w:rsidR="00D86586" w:rsidRDefault="00D86586" w:rsidP="00D86586">
      <w:pPr>
        <w:pStyle w:val="00003"/>
        <w:rPr>
          <w:color w:val="000000"/>
        </w:rPr>
      </w:pPr>
      <w:r>
        <w:rPr>
          <w:color w:val="000000"/>
        </w:rPr>
        <w:t>(a)  Strengthening the value of the state's high school diploma endorsements.</w:t>
      </w:r>
    </w:p>
    <w:p w:rsidR="00D86586" w:rsidRDefault="00D86586" w:rsidP="00D86586">
      <w:pPr>
        <w:pStyle w:val="00003"/>
        <w:rPr>
          <w:color w:val="000000"/>
        </w:rPr>
      </w:pPr>
      <w:r>
        <w:rPr>
          <w:color w:val="000000"/>
        </w:rPr>
        <w:t>(b)  Defining the levels of knowledge and skills necessary for students who are enrolling in courses for credit at postsecondary education institutions and encouraging secondary schools and postsecondary education systems to align their standards and assessments with such knowledge and skill levels.</w:t>
      </w:r>
    </w:p>
    <w:p w:rsidR="00D86586" w:rsidRDefault="00D86586" w:rsidP="00D86586">
      <w:pPr>
        <w:pStyle w:val="00003"/>
        <w:rPr>
          <w:color w:val="000000"/>
        </w:rPr>
      </w:pPr>
      <w:r>
        <w:rPr>
          <w:color w:val="000000"/>
        </w:rPr>
        <w:t xml:space="preserve">(3)  Strategies for better integration of the </w:t>
      </w:r>
      <w:proofErr w:type="spellStart"/>
      <w:r>
        <w:rPr>
          <w:color w:val="000000"/>
        </w:rPr>
        <w:t>WorkKeys</w:t>
      </w:r>
      <w:proofErr w:type="spellEnd"/>
      <w:r>
        <w:rPr>
          <w:color w:val="000000"/>
        </w:rPr>
        <w:t xml:space="preserve"> job skill assessment system into high school preparation programs and initiatives.</w:t>
      </w:r>
    </w:p>
    <w:p w:rsidR="00D86586" w:rsidRDefault="00D86586" w:rsidP="00D86586">
      <w:pPr>
        <w:pStyle w:val="00003"/>
        <w:rPr>
          <w:color w:val="000000"/>
        </w:rPr>
      </w:pPr>
      <w:r>
        <w:rPr>
          <w:color w:val="000000"/>
        </w:rPr>
        <w:t>(4)  Strategies for increasing the rigor of the high school curriculum, including but not limited to emphasis on establishing a default core curriculum and exploring the concept of testing students at the end of each course that the student completes.</w:t>
      </w:r>
    </w:p>
    <w:p w:rsidR="00D86586" w:rsidRDefault="00D86586" w:rsidP="00D86586">
      <w:pPr>
        <w:pStyle w:val="00003"/>
        <w:rPr>
          <w:color w:val="000000"/>
        </w:rPr>
      </w:pPr>
      <w:r>
        <w:rPr>
          <w:color w:val="000000"/>
        </w:rPr>
        <w:t>(5)  Strategies for reducing the number of high school dropouts in the state, including but not limited to strategies and opportunities for students who have fallen behind academically to make the progress necessary in order to be eligible to graduate from high school.</w:t>
      </w:r>
    </w:p>
    <w:p w:rsidR="00D86586" w:rsidRDefault="00D86586" w:rsidP="00D86586">
      <w:pPr>
        <w:pStyle w:val="00003"/>
        <w:rPr>
          <w:color w:val="000000"/>
        </w:rPr>
      </w:pPr>
      <w:r>
        <w:rPr>
          <w:color w:val="000000"/>
        </w:rPr>
        <w:t>(6)  Strategies for improving high school students' senior year in order for such year to be a meaningful and academically enriched time in preparing such students for graduation and life beyond high school.</w:t>
      </w:r>
    </w:p>
    <w:p w:rsidR="00D86586" w:rsidRDefault="00D86586" w:rsidP="00D86586">
      <w:pPr>
        <w:pStyle w:val="00003"/>
        <w:rPr>
          <w:color w:val="000000"/>
        </w:rPr>
      </w:pPr>
      <w:r>
        <w:rPr>
          <w:color w:val="000000"/>
        </w:rPr>
        <w:t>(7)  Diploma options for high school students.</w:t>
      </w:r>
    </w:p>
    <w:p w:rsidR="00D86586" w:rsidRDefault="00D86586" w:rsidP="00D86586">
      <w:pPr>
        <w:pStyle w:val="00003"/>
        <w:rPr>
          <w:color w:val="000000"/>
        </w:rPr>
      </w:pPr>
      <w:r>
        <w:rPr>
          <w:color w:val="000000"/>
        </w:rPr>
        <w:t xml:space="preserve">(8) Strategies for including the American Diploma Project Network in any </w:t>
      </w:r>
      <w:proofErr w:type="gramStart"/>
      <w:r>
        <w:rPr>
          <w:color w:val="000000"/>
        </w:rPr>
        <w:t>recommendations  relative</w:t>
      </w:r>
      <w:proofErr w:type="gramEnd"/>
      <w:r>
        <w:rPr>
          <w:color w:val="000000"/>
        </w:rPr>
        <w:t xml:space="preserve"> to efforts to raise high school standards to help high school students to better achieve in postsecondary education and work after graduation.</w:t>
      </w:r>
    </w:p>
    <w:p w:rsidR="00D86586" w:rsidRDefault="00D86586" w:rsidP="00D86586">
      <w:pPr>
        <w:pStyle w:val="00003"/>
        <w:rPr>
          <w:color w:val="000000"/>
        </w:rPr>
      </w:pPr>
      <w:r>
        <w:rPr>
          <w:color w:val="000000"/>
        </w:rPr>
        <w:t>(9)  Any other strategies or initiatives that the commission deems important and necessary in carrying out its duties and responsibilities pursuant to this Chapter.</w:t>
      </w:r>
    </w:p>
    <w:p w:rsidR="00D86586" w:rsidRDefault="00D86586" w:rsidP="00D86586">
      <w:pPr>
        <w:pStyle w:val="00003"/>
        <w:rPr>
          <w:color w:val="000000"/>
        </w:rPr>
      </w:pPr>
      <w:r>
        <w:rPr>
          <w:color w:val="000000"/>
        </w:rPr>
        <w:t>H.  The commission annually shall submit a written report of its findings and recommendations to the governor, the House Committee on Education, the Senate Committee on Education, the State Board of Elementary and Secondary Education, and the Board of Regents by not later than January thirty-first.</w:t>
      </w:r>
    </w:p>
    <w:p w:rsidR="00D86586" w:rsidRDefault="00D86586" w:rsidP="00D86586">
      <w:pPr>
        <w:pStyle w:val="00003"/>
        <w:rPr>
          <w:color w:val="000000"/>
        </w:rPr>
      </w:pPr>
      <w:proofErr w:type="gramStart"/>
      <w:r>
        <w:rPr>
          <w:color w:val="000000"/>
        </w:rPr>
        <w:t>Acts 2005, No. 233, §1, eff. June 29, 2005; Acts 2008, No. 156, §1; Acts 2008, No. 743, §7, eff. July 1, 2008; Acts 2009, No. 438, §1.</w:t>
      </w:r>
      <w:proofErr w:type="gramEnd"/>
    </w:p>
    <w:p w:rsidR="00D86586" w:rsidRDefault="00D86586" w:rsidP="00D86586"/>
    <w:p w:rsidR="007C3345" w:rsidRDefault="007C3345"/>
    <w:sectPr w:rsidR="007C3345" w:rsidSect="007C33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6586"/>
    <w:rsid w:val="007C3345"/>
    <w:rsid w:val="00D86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58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3">
    <w:name w:val="00003"/>
    <w:basedOn w:val="Normal"/>
    <w:rsid w:val="00D86586"/>
    <w:pPr>
      <w:spacing w:line="280" w:lineRule="atLeast"/>
      <w:ind w:firstLine="72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0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433</Words>
  <Characters>2474</Characters>
  <Application>Microsoft Office Word</Application>
  <DocSecurity>0</DocSecurity>
  <Lines>20</Lines>
  <Paragraphs>5</Paragraphs>
  <ScaleCrop>false</ScaleCrop>
  <Company>LDOE</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dhulbert</dc:creator>
  <cp:keywords/>
  <dc:description/>
  <cp:lastModifiedBy>dhulbert</cp:lastModifiedBy>
  <cp:revision>1</cp:revision>
  <dcterms:created xsi:type="dcterms:W3CDTF">2011-02-15T17:30:00Z</dcterms:created>
  <dcterms:modified xsi:type="dcterms:W3CDTF">2011-02-15T17:32:00Z</dcterms:modified>
</cp:coreProperties>
</file>